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5D" w:rsidRPr="0090355D" w:rsidRDefault="0090355D" w:rsidP="0090355D">
      <w:pPr>
        <w:pStyle w:val="Default"/>
        <w:jc w:val="center"/>
      </w:pPr>
      <w:r w:rsidRPr="0090355D">
        <w:t>REGLAMENTO Interior de la Secretaría de la Función Pública</w:t>
      </w:r>
    </w:p>
    <w:p w:rsidR="0090355D" w:rsidRPr="0090355D" w:rsidRDefault="0090355D" w:rsidP="0090355D">
      <w:pPr>
        <w:pStyle w:val="Default"/>
        <w:jc w:val="center"/>
        <w:rPr>
          <w:sz w:val="22"/>
          <w:szCs w:val="22"/>
        </w:rPr>
      </w:pP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Artículo 37.- </w:t>
      </w:r>
      <w:r w:rsidRPr="0090355D">
        <w:rPr>
          <w:sz w:val="22"/>
          <w:szCs w:val="22"/>
        </w:rPr>
        <w:t>Las personas titulares de los Órganos Internos de Control tienen en las Dependencias, incluyendo a sus órganos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administrativos desconcentrados, o las Entidades en las que sean designados, las mismas facultades que este Reglamento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otorga a los titulares de sus áreas, siempre que estas no sean ejercidas en contravención de lo dispuesto en el artículo 115 de la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Ley de Responsabilidades. Asimismo, tienen las facultades siguientes:</w:t>
      </w:r>
    </w:p>
    <w:p w:rsidR="0090355D" w:rsidRDefault="0090355D" w:rsidP="0090355D">
      <w:pPr>
        <w:pStyle w:val="Default"/>
        <w:jc w:val="both"/>
        <w:rPr>
          <w:b/>
          <w:bCs/>
          <w:sz w:val="22"/>
          <w:szCs w:val="22"/>
        </w:rPr>
      </w:pP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I. </w:t>
      </w:r>
      <w:r w:rsidRPr="0090355D">
        <w:rPr>
          <w:sz w:val="22"/>
          <w:szCs w:val="22"/>
        </w:rPr>
        <w:t>Recibir denuncias por hechos probablemente constitutivos de faltas administrativas a cargo de los servidores públicos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o de los particulares por conductas sancionables en términos de la Ley de Responsabilidades y por excepción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investigar y calificar las faltas administrativas que detecte, así como llevar a cabo las acciones que procedan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conforme a dicha Ley;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II. </w:t>
      </w:r>
      <w:r w:rsidRPr="0090355D">
        <w:rPr>
          <w:sz w:val="22"/>
          <w:szCs w:val="22"/>
        </w:rPr>
        <w:t>Substanciar el procedimiento de responsabilidad administrativa e imponer las sanciones respectivas, cuando se trate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faltas administrativas no graves, así como remitir al Tribunal Federal de Justicia Administrativa los procedimientos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responsabilidad administrativa cuando se refieran a faltas administrativas graves y por conductas de particulares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sancionables conforme a la Ley de Responsabilidades, para su resolución en términos de dicha Ley;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III. </w:t>
      </w:r>
      <w:r w:rsidRPr="0090355D">
        <w:rPr>
          <w:sz w:val="22"/>
          <w:szCs w:val="22"/>
        </w:rPr>
        <w:t>Analizar y verificar aleatoriamente las declaraciones de situación patrimonial y de intereses, así como la constancia de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presentación de declaración fiscal de los servidores públicos y, en caso de no existir anomalías, expedir la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certificación correspondiente, la cual se anotará en el Sistema de Evolución Patrimonial o habiéndolas, turnar al área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quejas, denuncias e investigaciones para iniciar la investigación que permita identificar la existencia de presuntas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faltas administrativas;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IV. </w:t>
      </w:r>
      <w:r w:rsidRPr="0090355D">
        <w:rPr>
          <w:sz w:val="22"/>
          <w:szCs w:val="22"/>
        </w:rPr>
        <w:t>Dar seguimiento a las observaciones determinadas en las auditorías o visitas de inspección que practiquen las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Unidades Administrativas competentes de la Secretaría a las Dependencias, las Entidades y los fideicomisos públicos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no paraestatales, mandatos y contratos en los casos en que así se determine;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V. </w:t>
      </w:r>
      <w:r w:rsidRPr="0090355D">
        <w:rPr>
          <w:sz w:val="22"/>
          <w:szCs w:val="22"/>
        </w:rPr>
        <w:t>Conocer, investigar, substanciar y resolver los procedimientos de sanción a proveedores, licitantes o contratistas;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VI. </w:t>
      </w:r>
      <w:r w:rsidRPr="0090355D">
        <w:rPr>
          <w:sz w:val="22"/>
          <w:szCs w:val="22"/>
        </w:rPr>
        <w:t>Atender y proporcionar la información y documentación que solicite la Coordinación General de Órganos de Vigilancia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y Control y demás Unidades Administrativas competentes de la Secretaría, que permita dar cumplimiento a las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políticas, planes, programas y acciones relacionadas con el Sistema Nacional Anticorrupción y el Sistema Nacional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Fiscalización;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VII. </w:t>
      </w:r>
      <w:r w:rsidRPr="0090355D">
        <w:rPr>
          <w:sz w:val="22"/>
          <w:szCs w:val="22"/>
        </w:rPr>
        <w:t xml:space="preserve">Emitir las resoluciones que procedan respecto de los recursos de revocación que interpongan los servidores públicos; </w:t>
      </w:r>
    </w:p>
    <w:p w:rsidR="00AD41DE" w:rsidRPr="0090355D" w:rsidRDefault="0090355D" w:rsidP="0090355D">
      <w:pPr>
        <w:jc w:val="both"/>
        <w:rPr>
          <w:rFonts w:ascii="Arial" w:hAnsi="Arial" w:cs="Arial"/>
        </w:rPr>
      </w:pPr>
      <w:r w:rsidRPr="0090355D">
        <w:rPr>
          <w:rFonts w:ascii="Arial" w:hAnsi="Arial" w:cs="Arial"/>
          <w:b/>
          <w:bCs/>
        </w:rPr>
        <w:t xml:space="preserve">VIII. </w:t>
      </w:r>
      <w:r w:rsidRPr="0090355D">
        <w:rPr>
          <w:rFonts w:ascii="Arial" w:hAnsi="Arial" w:cs="Arial"/>
        </w:rPr>
        <w:t>Emitir las resoluciones que correspondan respecto de los recursos de revisión que se interpongan en contra de las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resoluciones emitidas por los titulares de las áreas de responsabilidades en los procedimientos de inconformidad,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intervenciones de oficio y sanciones a personas físicas o morales, previstos en las disposiciones jurídicas en materia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de adquisiciones, arrendamientos, servicios, obras públicas y servicios relacionados con las mismas;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90355D">
        <w:rPr>
          <w:b/>
          <w:bCs/>
          <w:sz w:val="22"/>
          <w:szCs w:val="22"/>
        </w:rPr>
        <w:t xml:space="preserve">IX. </w:t>
      </w:r>
      <w:r w:rsidRPr="0090355D">
        <w:rPr>
          <w:sz w:val="22"/>
          <w:szCs w:val="22"/>
        </w:rPr>
        <w:t>Llevar los procedimientos de conciliación previstos en la Ley de Adquisiciones, Arrendamientos y Servicios del Sector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Público y la Ley de Obras Públicas y Servicios Relacionados con las Mismas, en los casos en que la persona titular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la Secretaría así lo determine, sin perjuicio de que los mismos podrán ser atraídos mediante acuerdo de la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persona titular de la Subsecretaría de Combate a la Corrupción;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lastRenderedPageBreak/>
        <w:t xml:space="preserve">X. </w:t>
      </w:r>
      <w:r w:rsidRPr="0090355D">
        <w:rPr>
          <w:sz w:val="22"/>
          <w:szCs w:val="22"/>
        </w:rPr>
        <w:t>Realizar la defensa jurídica de las resoluciones que emitan ante las diversas instancias jurisdiccionales,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representando a la persona titular de la Secretaría, así como expedir las copias certificadas de los documentos que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se encuentren en los archivos del Órgano Interno de Control;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XI. </w:t>
      </w:r>
      <w:r w:rsidRPr="0090355D">
        <w:rPr>
          <w:sz w:val="22"/>
          <w:szCs w:val="22"/>
        </w:rPr>
        <w:t>Coadyuvar al funcionamiento del sistema de control interno, evaluación y mejora de la gestión gubernamental; vigilar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el cumplimiento de las normas que en esas materias expida la persona titular de la Secretaría, y la política de control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interno y la toma de decisiones relativas al cumplimiento de los objetivos y políticas institucionales, así como al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óptimo desempeño de servidores públicos y órganos, a la modernización continua y desarrollo eficiente de la gestión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administrativa y al correcto manejo de los recursos públicos;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XII. </w:t>
      </w:r>
      <w:r w:rsidRPr="0090355D">
        <w:rPr>
          <w:sz w:val="22"/>
          <w:szCs w:val="22"/>
        </w:rPr>
        <w:t>Verificar el cumplimiento de las políticas que establezca el Comité Coordinador del Sistema Nacional Anticorrupción,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así como los requerimientos de información que, en su caso, soliciten los entes públicos en el marco de dicho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Sistema;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XIII. </w:t>
      </w:r>
      <w:r w:rsidRPr="0090355D">
        <w:rPr>
          <w:sz w:val="22"/>
          <w:szCs w:val="22"/>
        </w:rPr>
        <w:t>Programar, ordenar y realizar auditorías, revisiones y visitas de inspección, e informar de su resultado a la persona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titular de la Secretaría, así como a los responsables de las unidades administrativas auditadas y a los titulares de las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 xml:space="preserve">Dependencias y Entidades, así como apoyar, verificar y evaluar las acciones que promuevan la mejora de su gestión. 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sz w:val="22"/>
          <w:szCs w:val="22"/>
        </w:rPr>
        <w:t>Las auditorías, revisiones y visitas de inspección a que se refiere esta fracción podrán realizarse por los propios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titulares o por conducto de sus respectivas áreas de quejas, denuncias e investigaciones, auditoría interna, de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desarrollo y mejora de la gestión pública, o bien, en coordinación con las Unidades Administrativas de la Secretaría u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otras instancias externas de fiscalización;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XIV. </w:t>
      </w:r>
      <w:r w:rsidRPr="0090355D">
        <w:rPr>
          <w:sz w:val="22"/>
          <w:szCs w:val="22"/>
        </w:rPr>
        <w:t>Coordinar la formulación de los proyectos de programas y presupuesto del Órgano Interno de Control correspondiente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y proponer las adecuaciones que requiera el correcto ejercicio del presupuesto;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XV. </w:t>
      </w:r>
      <w:r w:rsidRPr="0090355D">
        <w:rPr>
          <w:sz w:val="22"/>
          <w:szCs w:val="22"/>
        </w:rPr>
        <w:t>Presentar denuncias por los hechos que las leyes señalen como delitos ante la Fiscalía Especializada en Combate 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la Corrupción o, en su caso, ante sus homólogos en el ámbito local;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XVI. </w:t>
      </w:r>
      <w:r w:rsidRPr="0090355D">
        <w:rPr>
          <w:sz w:val="22"/>
          <w:szCs w:val="22"/>
        </w:rPr>
        <w:t>Requerir a las unidades administrativas de las Dependencias o Entidades en las que se encuentren designados, la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información necesaria para cumplir con sus atribuciones, incluyendo aquella que las disposiciones jurídicas en la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materia consideren con carácter de reservada o confidencial, siempre que esté relacionada con la comisión de las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faltas administrativas a que se refiere la Ley de Responsabilidades, con la obligación de mantener la misma con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reserva o secrecía, conforme a dichas disposiciones, así como brindar la asesoría que les requieran dichos entes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públicos en el ámbito de sus competencias;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XVII. </w:t>
      </w:r>
      <w:r w:rsidRPr="0090355D">
        <w:rPr>
          <w:sz w:val="22"/>
          <w:szCs w:val="22"/>
        </w:rPr>
        <w:t>Atender y proporcionar la información que les sea requerida por la Dirección General de Transparencia y Gobierno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Abierto, en términos de las disposiciones jurídicas en materia de transparencia, acceso a la información y de datos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personales que genere, obtenga, adquiera, transforme o conserve por cualquier causa;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XVIII. </w:t>
      </w:r>
      <w:r w:rsidRPr="0090355D">
        <w:rPr>
          <w:sz w:val="22"/>
          <w:szCs w:val="22"/>
        </w:rPr>
        <w:t>Llevar a cabo programas específicos tendentes a verificar el cumplimiento de las obligaciones a cargo de los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servidores públicos de las Dependencias y Entidades, conforme a los lineamientos emitidos por la Secretaría;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XIX. </w:t>
      </w:r>
      <w:r w:rsidRPr="0090355D">
        <w:rPr>
          <w:sz w:val="22"/>
          <w:szCs w:val="22"/>
        </w:rPr>
        <w:t>Implementar los mecanismos internos que prevengan e inhiban actos u omisiones que pudieran constituir faltas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administrativas, en los términos establecidos por el Sistema Nacional Anticorrupción;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XX. </w:t>
      </w:r>
      <w:r w:rsidRPr="0090355D">
        <w:rPr>
          <w:sz w:val="22"/>
          <w:szCs w:val="22"/>
        </w:rPr>
        <w:t>Revisar el ingreso, egreso, manejo, custodia y aplicación de recursos públicos federales, según corresponda, en el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 xml:space="preserve">ámbito de su competencia; 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XXI. </w:t>
      </w:r>
      <w:r w:rsidRPr="0090355D">
        <w:rPr>
          <w:sz w:val="22"/>
          <w:szCs w:val="22"/>
        </w:rPr>
        <w:t>Coadyuvar en el seguimiento de estrategias para la Ciudadanización de los esquemas de Contraloría Social que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determine el Ejecutivo Federal en las Dependencias y Entidades en las que se encuentran designados;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lastRenderedPageBreak/>
        <w:t xml:space="preserve">XXII. </w:t>
      </w:r>
      <w:r w:rsidRPr="0090355D">
        <w:rPr>
          <w:sz w:val="22"/>
          <w:szCs w:val="22"/>
        </w:rPr>
        <w:t>Admitir y substanciar los recursos de reclamación y dar cuenta al Tribunal Federal de Justicia Administrativa para que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este emita la resolución correspondiente;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XXIII. </w:t>
      </w:r>
      <w:r w:rsidRPr="0090355D">
        <w:rPr>
          <w:sz w:val="22"/>
          <w:szCs w:val="22"/>
        </w:rPr>
        <w:t>Determinar la abstención de iniciar el procedimiento de responsabilidad administrativa, o de imponer sanciones a un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servidor público, cuando se advierta que se cumplen los requisitos que establece la Ley de Responsabilidades;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XXIV. </w:t>
      </w:r>
      <w:r w:rsidRPr="0090355D">
        <w:rPr>
          <w:sz w:val="22"/>
          <w:szCs w:val="22"/>
        </w:rPr>
        <w:t>Recibir y dar trámite a las impugnaciones presentadas a través del recurso de inconformidad, sobre la abstención de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iniciar el procedimiento de responsabilidad administrativa o de imponer sanciones;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XXV. </w:t>
      </w:r>
      <w:r w:rsidRPr="0090355D">
        <w:rPr>
          <w:sz w:val="22"/>
          <w:szCs w:val="22"/>
        </w:rPr>
        <w:t>Vigilar que las Dependencias, incluyendo a sus órganos administrativos desconcentrados, o las Entidades en las quesean designados, den cumplimiento a las medidas de austeridad republicana;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  <w:r w:rsidRPr="0090355D">
        <w:rPr>
          <w:b/>
          <w:bCs/>
          <w:sz w:val="22"/>
          <w:szCs w:val="22"/>
        </w:rPr>
        <w:t xml:space="preserve">XXVI. </w:t>
      </w:r>
      <w:r w:rsidRPr="0090355D">
        <w:rPr>
          <w:sz w:val="22"/>
          <w:szCs w:val="22"/>
        </w:rPr>
        <w:t>Atender los exhortos, oficios de colaboración o solicitudes de diligencias requeridas por las Unidades Administrativas</w:t>
      </w:r>
      <w:r>
        <w:rPr>
          <w:sz w:val="22"/>
          <w:szCs w:val="22"/>
        </w:rPr>
        <w:t xml:space="preserve"> </w:t>
      </w:r>
      <w:r w:rsidRPr="0090355D">
        <w:rPr>
          <w:sz w:val="22"/>
          <w:szCs w:val="22"/>
        </w:rPr>
        <w:t>de la Secretaría conforme a las instrucciones solicitadas, y</w:t>
      </w:r>
    </w:p>
    <w:p w:rsidR="0090355D" w:rsidRPr="0090355D" w:rsidRDefault="0090355D" w:rsidP="0090355D">
      <w:pPr>
        <w:jc w:val="both"/>
        <w:rPr>
          <w:rFonts w:ascii="Arial" w:hAnsi="Arial" w:cs="Arial"/>
        </w:rPr>
      </w:pPr>
      <w:r w:rsidRPr="0090355D">
        <w:rPr>
          <w:rFonts w:ascii="Arial" w:hAnsi="Arial" w:cs="Arial"/>
          <w:b/>
          <w:bCs/>
        </w:rPr>
        <w:t xml:space="preserve">XXVII. </w:t>
      </w:r>
      <w:r w:rsidRPr="0090355D">
        <w:rPr>
          <w:rFonts w:ascii="Arial" w:hAnsi="Arial" w:cs="Arial"/>
        </w:rPr>
        <w:t>Las demás que les confieran otras disposiciones jurídicas y aquellas funciones que les encomienden la persona titular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de la Secretaría y la persona titular de la Coordinación General de Órganos de Vigilancia y Control.</w:t>
      </w:r>
    </w:p>
    <w:p w:rsidR="0090355D" w:rsidRPr="0090355D" w:rsidRDefault="0090355D" w:rsidP="0090355D">
      <w:pPr>
        <w:rPr>
          <w:rFonts w:ascii="Arial" w:hAnsi="Arial" w:cs="Arial"/>
        </w:rPr>
      </w:pPr>
    </w:p>
    <w:p w:rsidR="0090355D" w:rsidRPr="0090355D" w:rsidRDefault="0090355D" w:rsidP="0090355D">
      <w:pPr>
        <w:jc w:val="both"/>
        <w:rPr>
          <w:rFonts w:ascii="Arial" w:hAnsi="Arial" w:cs="Arial"/>
        </w:rPr>
      </w:pPr>
      <w:r w:rsidRPr="0090355D">
        <w:rPr>
          <w:rFonts w:ascii="Arial" w:hAnsi="Arial" w:cs="Arial"/>
        </w:rPr>
        <w:t>Las personas titulares de las Unidades de Responsabilidades tienen las facultades a que se refieren las fracciones I, II, VII, X</w:t>
      </w:r>
      <w:proofErr w:type="gramStart"/>
      <w:r w:rsidRPr="0090355D">
        <w:rPr>
          <w:rFonts w:ascii="Arial" w:hAnsi="Arial" w:cs="Arial"/>
        </w:rPr>
        <w:t>,XII</w:t>
      </w:r>
      <w:proofErr w:type="gramEnd"/>
      <w:r w:rsidRPr="0090355D">
        <w:rPr>
          <w:rFonts w:ascii="Arial" w:hAnsi="Arial" w:cs="Arial"/>
        </w:rPr>
        <w:t>, XIV, XV, XVI, XVII, XVIII, XIX, XX, XXII, XXIII, XXIV, XXVI y XXVII de este artículo.</w:t>
      </w:r>
    </w:p>
    <w:p w:rsidR="0090355D" w:rsidRPr="0090355D" w:rsidRDefault="0090355D" w:rsidP="0090355D">
      <w:pPr>
        <w:pStyle w:val="Default"/>
        <w:jc w:val="both"/>
        <w:rPr>
          <w:sz w:val="22"/>
          <w:szCs w:val="22"/>
        </w:rPr>
      </w:pPr>
    </w:p>
    <w:p w:rsidR="0090355D" w:rsidRPr="0090355D" w:rsidRDefault="0090355D" w:rsidP="0090355D">
      <w:pPr>
        <w:jc w:val="both"/>
        <w:rPr>
          <w:rFonts w:ascii="Arial" w:hAnsi="Arial" w:cs="Arial"/>
        </w:rPr>
      </w:pPr>
      <w:r w:rsidRPr="0090355D">
        <w:rPr>
          <w:rFonts w:ascii="Arial" w:hAnsi="Arial" w:cs="Arial"/>
        </w:rPr>
        <w:t>Las personas titulares de los Órganos Internos de Control y de las Unidades de Responsabilidades en el ejercicio de las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facultades que se les confieren en este artículo, atenderán los objetivos, políticas y prioridades que dicte la persona titular de la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Secretaría a través de la Coordinación General de Órganos de Vigilancia y Control o de las personas titulares de las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Subsecretarías. Las personas titulares de las Unidades de Responsabilidades atenderán también el régimen especial aplicable a</w:t>
      </w:r>
      <w:r>
        <w:rPr>
          <w:rFonts w:ascii="Arial" w:hAnsi="Arial" w:cs="Arial"/>
        </w:rPr>
        <w:t xml:space="preserve"> </w:t>
      </w:r>
      <w:r w:rsidRPr="0090355D">
        <w:rPr>
          <w:rFonts w:ascii="Arial" w:hAnsi="Arial" w:cs="Arial"/>
        </w:rPr>
        <w:t>las empresas productivas del Estado.</w:t>
      </w:r>
    </w:p>
    <w:sectPr w:rsidR="0090355D" w:rsidRPr="00903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5D"/>
    <w:rsid w:val="0090355D"/>
    <w:rsid w:val="00A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E897-8282-495B-B623-7147F05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1</cp:revision>
  <dcterms:created xsi:type="dcterms:W3CDTF">2023-04-26T19:47:00Z</dcterms:created>
  <dcterms:modified xsi:type="dcterms:W3CDTF">2023-04-26T19:55:00Z</dcterms:modified>
</cp:coreProperties>
</file>